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ДОГОВОР № ____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на отпуск питьевой воды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>г. Екатеринбург                                                                                «___»__________2016г.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</w:rPr>
        <w:t>Федеральное государственное бюджетное учреждение науки Институт геофизики им.Ю.П.Булашевича Уральского отделения Российской академии наук, именуемое в дальнейшем «Предприятие», в лице врио директора Беликова В.Т., действующего на основании Устава, с одной стороны, и __________________________, именуемый в дальнейшем «Абонент», в лице председателя __________________., действующего на основании Устава, с другой стороны, заключили настоящий договор (далее также - Договор) о нижеследующем: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1. Предмет Договора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1.1. Предметом настоящего договора является отпуск питьевой воды из централизованной системы коммунального водоснабжения обсерватории Арти для объектов Абонента.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</w:rPr>
        <w:t>Отпуск питьевой воды производится до границы эксплуатационной ответственности Предприятия Абоненту на объекты недвижимости, указанные в приложении №1 согласно выданным техническим условиям.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1.2. Абонент обязуется своевременно и полностью оплачивать объемы (количество) потребленной воды, соблюдать предусмотренные Договором лимиты водопотребления обеспечить исправность и безопасность эксплуатации водопроводных, сооружений, сетей, узлов учета и иного оборудования, находящихся в его ведении (на балансе, в аренде или обслуживании).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1.3. Границы раздела между Предприятием и Абонентом ответственности по эксплуатационному обслуживанию водопроводных устанавливаются Актом разграничения балансовой принадлежности и (или) эксплуатационной ответственности (Приложение № 2 к настоящему договору).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1.4. При выполнении настоящего договора стороны руководствуются его условиями, действующим законодательством, в том числе Гражданским кодексом РФ (часть 2, гл. 30), Федеральным законом от 07.12.2011 № 416-ФЗ «О водоснабжении и водоотведении», Постановлением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РФ от 12.02.1999 № 167 «Об утверждении Правил пользования системами коммунального водоснабжения и канализации в Российской Федерации» (далее по тексту – Правила), и другими нормативными правовыми актами Российской Федерации, Свердловской области и органов местного самоуправления, регулирующими отношения в сфере оказания услу</w:t>
      </w:r>
      <w:bookmarkStart w:id="0" w:name="_GoBack"/>
      <w:bookmarkEnd w:id="0"/>
      <w:r>
        <w:rPr>
          <w:rFonts w:ascii="Times New Roman" w:cs="Times New Roman" w:hAnsi="Times New Roman"/>
        </w:rPr>
        <w:t>г по водоснабжению и разрешительной документацией на водоснабжение.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2. Количество и режим отпуска питьевой воды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2.1. Предприятие обязуется в пределах установленных лимитов отпускать Абоненту из системы коммунального водоснабжения питьевую воду в количестве ______ м3/год, ______ м3/месяц.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2.2. Отпуск воды Абоненту осуществляется </w:t>
      </w:r>
      <w:r>
        <w:rPr>
          <w:rFonts w:ascii="Times New Roman" w:cs="Times New Roman" w:hAnsi="Times New Roman"/>
          <w:shd w:fill="FFFF00" w:val="clear"/>
        </w:rPr>
        <w:t>свободным напором</w:t>
      </w:r>
      <w:r>
        <w:rPr>
          <w:rFonts w:ascii="Times New Roman" w:cs="Times New Roman" w:hAnsi="Times New Roman"/>
        </w:rPr>
        <w:t xml:space="preserve"> в точке присоединения к системе коммунального водоснабжения.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2.3. Количество отпущенной питьевой воды определяется по показаниям средств измерений узла учета (прибора учета), установленного по адресу: ___________________________, д. _____.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3. Права и обязанности сторон.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 Предприятие обязано: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3.1.1. Подавать Абоненту питьевую воду в количествах (объемах), предусмотренных Договором.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3.1.2. Обеспечить бесперебойный (за исключением случаев, установленных Договором) отпуск питьевой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3.1.3. Поддерживать в исправном техническом состоянии сооружения и сети водопроводного хозяйства.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3.1.4. Систематически контролировать качество подаваемой Абоненту питьевой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3.1.5. Осуществлять контроль технического состояния и исправности приборов учета и другого оборудования Абонента в точке присоединения к коммунальным сетям водоснабжения.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3.1.6. По заявке Абонента и при наличии технической возможности производить необходимые отключения объектов от систем коммунального водоснабжения. При нарушениях нормального водоснабжения объектов Абонента по вине Предприятия выявлять и устранять причины нарушения.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3.1.7. Предупреждать Абонента, органы местного самоуправления и соответствующие органы государственного надзора о прекращении (ограничении) отпуска питьевой воды в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случаях и порядке, предусмотренных в порядке и случаях, предусмотренных Федеральным законом «О водоснабжении и водоотведении» и Правил;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3.1.8. Предоставлять Абоненту информацию о качественном составе питьевой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3.2. Предприятие имеет право: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3.2.1. Прекращать или ограничивать подачу питьевой воды в соответствии в случаях предусмотренных Правилами.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3.2.2. Контролировать достоверность учета Абонентом объемов водопотребления, в т. ч. правильность снимаемых показаний приборов учета воды и предоставляемых Абонентом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сведений о расходе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3.2.3. Получать от Абонента необходимые сведения и документы, относящиеся к его системам водоснабжения.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3.2.5. Требовать от Абонента возмещения ущерба, причиненного им системам коммунального водоснабжения.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 Абонент обязан: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3.3.1. Обеспечить надлежащий учет объемов (количества) потребленной питьевой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3.3.2. Иметь и использовать для учета объемов водопотребления действующие (поверенные) средства измерений (приборы учета воды).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3.3.3. Показания средств измерений принимаются для учета и расчетов на основании и при наличии «Акта допуска в эксплуатацию узла учета», оформляемого Предприятием.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3.3.4. Оборудовать (установить) узел (узлы) учета воды на границе раздела эксплуатационной ответственности. В случае не выполнения указанного требования Абонент дополнительно оплачивает потери при транспортировке воды по водопроводным сетям, находящимся в его ведении (на балансе), согласно объемам, рассчитанным Предприятием.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3.3.5. Самостоятельно снимать показания средств измерений, рассчитывать объемы потребления воды, и в срок не позже 25 числа текущего (расчетного) месяца направлять Предприятию подписанный ответственным лицом и заверенный печатью Абонента акт, содержащий сведения о фактических объемах (количествах) полученной воды. Объемы потребления питьевой воды даются Абонентом с расшифровкой по каждому узлу учета.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Сведения акта, направленного по факсу могут быть приняты к учету Предприятием при соблюдении следующих условий: наличие на нем отметки указанного в Договоре абонентского номера факса и досылка подлинного экземпляра акта в течение трех рабочих дней.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3.3.6. Своевременно и в полном объеме оплачивать Предприятию услуги по водоснабжению в соответствии с условиями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3.3.7. Поддерживать в исправном техническом состоянии принадлежащие ему водопроводное оборудование и устройства; иметь исполнительные чертежи водопроводных сетей.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3.3.8. Немедленно сообщать Предприятию обо всех повреждениях или неисправностях на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водопроводных сетях, сооружениях и устройствах, которые могут повлечь за собой загрязнение питьевой воды и причинить вред здоровью людей, привести к нарушению нормальной работы систем коммунального водоснабжения, порче имущества, либо загрязнению окружающей природной среды.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3.3.9. Обеспечить беспрепятственный доступ представителей Предприятия на узлы учета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Абонента для осмотра и проведения эксплуатационных или аварийно-восстановительных работ на транзитных водопроводных сетях, водоводах и коллекторах, находящихся в ведении Предприятия (в собственности, на праве аренды или ином вещном праве), и проходящих по территории Абонента.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3.3.10. Присоединять других потребителей (субабонентов) к собственным сетям водопровода только по письменному разрешению Предприятия.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3.3.11. О предполагаемом изменении режима потребления воды письменно сообщать Предприятию в срок за 30 дней.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3.3.12. Обеспечить сохранность и исправность средств измерений и узла (узлов) учета воды в целом. Об установке новых либо замене ранее установленных средств измерений Абонент обязан в трехдневный срок письменно уведомить Предприятие.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3.3.13. Обеспечивать сохранность пломб на средствах измерений, задвижках обводной линии, пожарных гидрантах, задвижках и других водопроводных устройствах, находящихся на его территории (в его ведении).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3.3.14. В 3-дневный срок сообщать Предприятию о срыве или нарушениях целости пломб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на средствах измерений, задвижках на обводных линиях, пожарных гидрантах. Немедленно извещать Предприятие о неисправности (истечении межповерочного срока) средств измерений и заменять неисправные средства измерений в срок не более 30 дней.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3.3.15. Своевременно сообщать Предприятию обо всех изменениях условий водопользования, местонахождения, почтовых, либо платежных реквизитов, а также об изменении своего правового статуса.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При передаче устройств и сооружений для присоединения к системам коммунального водоснабжения новому собственнику (владельцу) Абонент обязан в течение трех дней в письменной форме уведомить об этом Предприятие, представить заверенную копию акта приема-передачи имущества и произвести полный расчет за оказанные услуги.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3.3.16. Соблюдать условия и режимы водопотребления, лимиты водопотребления, установленные «Правилами», иными нормативно-правовыми актами и разрешительной документацией Предприятия.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3.3.17. В случаях повреждения систем водоснабжения, Абонент обязан немедленно сообщить об этом Предприятию, незамедлительно принять меры к ликвидации повреждения и/или последствий происшедшего под техническим надзором Предприятия, а также возместить Предприятию все возникшие в связи с таким повреждением убытки.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3.3.18. Своевременно (в указанный срок) выполнять предписания Предприятия по замене (поверке) средств измерений узлов учета и замене неисправных задвижек на обводных линиях.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3.3.19. Производить оплату работ, связанных с отключением и последующим подключением Предприятием водопроводных вводов при временном полном прекращении Абонентом потребления питьевой воды по дополнительным счетам, выставляемым Абоненту Предприятием.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3.4. Абонент имеет право: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3.4.1. Пользоваться системами коммунального водоснабжения в соответствии с условиями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3.4.2. Получать от Предприятия информацию о качественном составе питьевой воды, об изменении тарифов.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4. Порядок учета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4.1. Учет количества израсходованной воды производится по показаниям прибора учета марки № _______________, установленного на вводе Абонента.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4.2. Применение метода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 используется в следующих случаях: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а) при самовольном присоединении и (или) пользовании централизованными системами водоснабжения за период времени, в течение которого осуществлялось такое самовольное присоединение и (или) пользование;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б) через 60 дней со дня возникновения неисправности прибора учета (в том числе непроведения поверки после истечения межповерочного интервала) или демонтажа прибора учета до проведения допуска прибора учета к эксплуатации либо поверки без демонтажа прибора учета;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в) при отсутствии у Абонента приборов учета воды, допущенных к эксплуатации в установленном порядке, в случае, если в течение 60 дней со дня получения от Предприятия уведомления о необходимости установки приборов учета приборы учета воды не установлены;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г) при нарушении в течение более 6 месяцев сроков представления показаний прибора учета, за исключением случаев предварительного уведомления Абонентом Предприятие, о временном прекращении потребления воды.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5. Порядок расчетов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5.1. Расчет с Абонентом за отпущенную питьевую воду производится по тарифам, установленным Региональной энергетической комиссией Свердловской области, на основании фактических показаний приборов учета, а в их отсутствие согласно п. 4.2 настоящего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5.2. На дату заключения настоящего договора тарифы составляют: на питьевую воду - ____ руб./м3, кроме того НДС 18%. Тарифы в течение срока действия настоящего договора могут быть изменены и утверждены в установленном порядке. Новые тарифы доводятся до Абонента через средства массовой информации. Изменение тарифов не является изменением условий настоящего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5.3. Предприятие ежемесячно до 05 числа месяца, следующего за расчетным, выписывает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и направляет Абоненту счет, счет-фактуру и два экземпляра акта выполненных работ, а также отдельно счет, счет-фактуру и два экземпляра акта выполненных работ в случае превышения Абонентом лимитов водопотребления.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5.4. Абонент обязан произвести оплату согласно выставленным платежным документам (с учетом авансового платежа) на расчетный счет Предприятия в течение 5 банковских дней с момента их получения. Днем оплаты считается день зачисления денежных средств на расчетный счет Предприятия. В графе «Назначение платежа» платежных поручений указываются наименование, ИНН Абонента, реквизиты Договора на отпуск питьевой воды, номер счета-фактуры на отпуск питьевой воды, дата, НДС.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5.5. В случае превышения лимитов водопотребления Предприятие вправе предъявить к оплате и взыскать, а Абонент обязан оплатить сверхлимитные объемы потребленной воды по повышенным (в пятикратном размере против утвержденных) тарифов.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5.6. В случае несвоевременной уплаты за потребленную воду Предприятие вправе начислить и взыскать с Абонента за каждый день просрочки, начиная со следующего дня после наступления установленного срока оплаты по день фактической выплаты включительно, пени в размере 1/300 действующей на момент оплаты ставки рефинансирования Центрального банка Российской Федерации, от не выплаченных в срок сумм.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5.7. По инициативе любой из сторон, но не реже одного раза в год, производится сверка расчетов. Подписанные Абонентом акты сверки расчетов и акты выполненных работ должны быть возвращены Предприятию в течение 3-х рабочих дней с момента получения, но не позднее 10 числа месяца, следующего за отчетным. Требование о своевременном подписании и возвращении в адрес Предприятия данных документов является существенным условием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5.8. Акты выполненных работ, акты сверки расчетов подписываются руководителем и главным бухгалтером организации - Абонента. При подписании указанных документов иными лицами, Абонент обязан передать Предприятию вместе с такими документами надлежащим образом оформленные доверенности.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5.9. В случае обнаружения расхождений между показаниями средств измерений, либо предоставления Абонентом сведений об ошибках при начислении платежей, перерасчет производится при выставлении последующих платежных документов.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5.10. Расчеты Абонента с Предприятием по настоящему договору за нарушение лимитов водопотребления производятся Предприятием путем выставления Абоненту отдельных счетов.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6. Порядок прекращения отпуска питьевой воды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6.1. Предприятие имеет право, в соответствии с жилищным законодательством, прекратить или ограничить подачу питьевой воды Абоненту.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6.2. Оплата работ за прекращение (ограничение) отпуска Абоненту питьевой воды и последующие подключения к системам водоснабжения производится Абонентом дополнительно по калькуляции затрат, на основании отдельных счетов, счетов-фактур и актов выполненных работ.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6.3. Возобновление подачи питьевой воды осуществляется только после полного погашения всех денежных обязательств Абонента перед Предприятием, в том числе предусмотренных п. 6.2 настоящего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7. Ответственность сторон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7.1. Предприятие и Абонент несут ответственность: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нарушение (невыполнение) договорных обязательств в соответствии с законодательством РФ;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вред, причиненный утечками питьевой воды из системы водоснабжения, находящихся в их ведении или аренде.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7.2. Предприятие несет ответственность: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ущерб, причиненный Абоненту;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качество подаваемой питьевой воды и соответствие его санитарным нормам и правилам.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7.3. Абонент несет ответственность: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вред, причиненный Предприятию или системам коммунального водоснабжения, в соответствии с законодательством РФ;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за достоверность информации по учету полученной питьевой воды.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7.4. Предприятие не несет имущественной ответственности за недоотпуск питьевой воды, вызванный: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неправильными действиями Абонента или посторонних лиц (ошибочное включение, отключение или переключение, механическое повреждение и т.п.);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ограничением или прекращением отпуска питьевой воды, произведенным в порядке, предусмотренным действующим законодательством РФ  и в соответствии с п. 6.1 настоящего договора;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 действием непреодолимой силы (форс-мажорными обстоятельствами).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7.5. Абонент несет ответственность за сохранность и эксплуатацию сетей, сооружений и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устройств, находящихся на его балансе (в его ведении), или на его территории, в соответствии с действующим законодательством.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7.6. Предприятие не несет ответственности за ущерб, вызванный подтоплением помещений вследствие аварий на сетях, сооружениях и устройствах, находящихся на балансе (в ведении) Абонента.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7.7. В случаях аварии на сетях Предприятия подача воды Абоненту может быть прекращена на срок до 60 часов. На этот период Абонент осуществляет водоснабжение из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собственных источников, либо переходит на аварийный режим водопотребления.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7.8. Ответственными лицами по Договору назначаются: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от Предприятия -  _________________________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тел./факс (__________) __________________;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от Абонента - _____________________________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тел. факс (__________) __________________.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8. Срок действия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8.1. Настоящий договор заключается с ___________ 201_ года по _________ 201_ года.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По истечении срока действия Договор считается продленным на следующий календарный год, если ни одна из сторон не позднее 30 дней до окончания срока не заявила об отказе от Договора или о пересмотре его условий.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8.2. Все изменения и дополнения к Договору оформляются Сторонами письменно в виде дополнительного соглашения. Предложения об изменении и дополнении отдельных условий Договора рассматриваются Сторонами в течение 30 дней.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8.3. Обязательства, возникшие из настоящего договора до его расторжения и не исполненные надлежащим образом, сохраняют силу до момента исполнения.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9. Особые условия.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9.1. Договор вступает в силу с момента подписания его сторонами и применяется к отношениям, сложившимся между ними с _____________ 201_ г.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9.2. Отпуск питьевой воды Предприятие в бездоговорном порядке не осуществляет. В случае отклонения Предприятием разногласий Абонента по условиям Договора, если Абонент не передал их на рассмотрение арбитражного суда и продолжает потреблять питьевую воду из коммунальных систем водоснабжения, Договор считается заключенным на условиях Предприятия.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9.4. Предприятие имеет право пересмотреть согласованные объемы получаемой Абонентом воды при нарушении условий Договора и изменении технических возможностей централизованных систем коммунального водоснабжения.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 xml:space="preserve">9.5. При исполнении настоящего договора, а также по всем вопросам, не нашедшим отражения в Договоре, стороны руководствуются действующим гражданским законодательством указанным в п. 1.4. настоящего договора.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9.6. Стороны обязуются в десятидневный срок письменно извещать друг друга обо всех изменениях юридического и (или) почтового адреса, банковских реквизитов.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9.7. При выезде из занимаемого помещения (утрате права владения устройствами и сооружениями для присоединения к системам коммунального водоснабжения и водоотведения), Абонент обязан не менее чем за семь дней уведомить об этом Предприятие и выполнить условие пункта 3.3.15. Договора.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9.8. Настоящий договор составлен в двух экземплярах - по одному экземпляру для каждой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из сторон.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9.9. Неотъемлемой частью настоящего договора являются приложения: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-Приложение № 1- Перечень объектов недвижимости;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  <w:t>-Приложение № 2 - Акт разграничения балансовой принадлежности и (или) эксплуатационной ответственности по обслуживанию водопроводных сетей;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</w:rPr>
        <w:t>10. Юридические адреса, банковские реквизиты и подписи сторон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785"/>
        <w:gridCol w:w="4785"/>
      </w:tblGrid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47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</w:pPr>
      <w:r>
        <w:rPr/>
      </w:r>
    </w:p>
    <w:sectPr>
      <w:type w:val="nextPage"/>
      <w:pgSz w:h="16838" w:w="11906"/>
      <w:pgMar w:bottom="851" w:footer="0" w:gutter="0" w:header="0" w:left="1134" w:right="851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2016-06-30T09:50:00.00Z</dcterms:created>
  <dc:creator>Селенских Е.А..</dc:creator>
  <cp:lastModifiedBy>Селенских Е.А..</cp:lastModifiedBy>
  <dcterms:modified xsi:type="dcterms:W3CDTF">2016-07-01T05:29:00.00Z</dcterms:modified>
  <cp:revision>4</cp:revision>
</cp:coreProperties>
</file>